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809D" w14:textId="77777777" w:rsidR="00C27FA6" w:rsidRPr="00143919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SCI, SSCI, SCI-</w:t>
      </w: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Expanded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 ve AHCI endeksleri tarafından taranan dergilerde yayımlanan ya da yayımlanmak üzere kabul edilmiş makaleler. (Q1)</w:t>
      </w:r>
    </w:p>
    <w:p w14:paraId="18BA94AA" w14:textId="77777777" w:rsidR="00E53F38" w:rsidRPr="00143919" w:rsidRDefault="0034026D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</w:pPr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Gedik ME,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Saatci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O,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Oberholtzer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N,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Uner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M,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Caliskan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OA,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Cetin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M, Aras M,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Ibis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K,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Caliskan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K,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Banoglu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E,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Wiemann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S, </w:t>
      </w:r>
      <w:r w:rsidRPr="00143919">
        <w:rPr>
          <w:rStyle w:val="Strong"/>
          <w:rFonts w:ascii="Helvetica Neue" w:hAnsi="Helvetica Neue" w:hint="eastAsia"/>
          <w:b w:val="0"/>
          <w:bCs w:val="0"/>
          <w:color w:val="1A1A1A" w:themeColor="background1" w:themeShade="1A"/>
          <w:sz w:val="21"/>
          <w:szCs w:val="21"/>
        </w:rPr>
        <w:t>Ü</w:t>
      </w:r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ner A, Aksoy S,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Mehrotra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S, Sahin O.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Targeting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TACC3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induces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immunogenic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cell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death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and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enhances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T-DM1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response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in HER2-positive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breast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cancer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Cancer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Research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, 2024; 84(9), 1475-1490</w:t>
      </w:r>
    </w:p>
    <w:p w14:paraId="0101FCF0" w14:textId="77777777" w:rsidR="00E53F38" w:rsidRPr="00143919" w:rsidRDefault="00E53F38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Pastorino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GA,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Sheraj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Huebner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K,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Ferrero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G,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Kunze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P,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Hartmann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A,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Hampel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C,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Husnugil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HH,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Maiuthed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A,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Gebhart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F,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Schlattmann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F,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Gulec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Taskiran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AE, Oral G,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Palmisano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R,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Pardini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B,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Naccarati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A,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Erlenbach-Wuensch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K,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Banerjee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S, Schneider-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Stock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R. A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partial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epithelial-mesenchymal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transition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signature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for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highly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aggressive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colorectal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cancer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cells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that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survive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under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nutrient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restriction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J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Pathol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2024 Mar;262(3):347-361.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doi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: 10.1002/path.6240.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Epub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2024 Jan 18. PMID: 38235615.</w:t>
      </w:r>
    </w:p>
    <w:p w14:paraId="2E1B7EB5" w14:textId="76283EE6" w:rsidR="00C27FA6" w:rsidRPr="00143919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--------------------------------------------------------------------------------------------------------------------------</w:t>
      </w:r>
    </w:p>
    <w:p w14:paraId="55F23815" w14:textId="485E549F" w:rsidR="00DA77DA" w:rsidRPr="00143919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SCI, SSCI, SCI-</w:t>
      </w: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Expanded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 ve AHCI endeksleri tarafından taranan dergilerde yayımlanan ya da </w:t>
      </w: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yayımlanmaküzere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 kabul edilmiş makaleler. (Q2)</w:t>
      </w:r>
    </w:p>
    <w:p w14:paraId="553D8E22" w14:textId="77777777" w:rsidR="001A7FB3" w:rsidRPr="00143919" w:rsidRDefault="00E30CF5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Hüsnügil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HH, Güleç Taşkıran AE,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Güderer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I, Nehri LN, Oral G, Menemenli NŞ, Özcan Ö,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Noghreh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A, Akyol A,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Banerjee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S.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Lysosomal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alkalinization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nutrient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restricted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cancer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cells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activates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cytoskeletal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rearrangement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to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enhance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partial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epithelial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to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mesenchymal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transition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Transl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Oncol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2024 </w:t>
      </w:r>
      <w:proofErr w:type="gram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Mar;41:101860</w:t>
      </w:r>
      <w:proofErr w:type="gram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</w:t>
      </w:r>
      <w:proofErr w:type="spellStart"/>
      <w:proofErr w:type="gram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doi</w:t>
      </w:r>
      <w:proofErr w:type="spellEnd"/>
      <w:proofErr w:type="gram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: 10.1016/j.tranon.2023.101860.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Epub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2024 Jan 22. PMID: 38262111; PMCID: PMC10832471.</w:t>
      </w:r>
    </w:p>
    <w:p w14:paraId="6E8F705D" w14:textId="54386894" w:rsidR="001A7FB3" w:rsidRPr="00143919" w:rsidRDefault="001A7FB3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Güleç Taşkıran AE, Karaoğlu </w:t>
      </w:r>
      <w:proofErr w:type="gram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DA,</w:t>
      </w:r>
      <w:proofErr w:type="gram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Eylem CC, Ermiş Ç,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Güderer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İ,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Nemutlu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E, Demirkol Canlı S,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Banerjee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S. Glutamine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withdrawal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leads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to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the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preferential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activation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of lipid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metabolism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metastatic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colorectal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cancer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Transl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Oncol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2024 </w:t>
      </w:r>
      <w:proofErr w:type="gram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Oct;48:102078</w:t>
      </w:r>
      <w:proofErr w:type="gram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</w:t>
      </w:r>
      <w:proofErr w:type="spellStart"/>
      <w:proofErr w:type="gram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doi</w:t>
      </w:r>
      <w:proofErr w:type="spellEnd"/>
      <w:proofErr w:type="gram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: 10.1016/j.tranon.2024.102078.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Epub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2024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Aug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7. PMID: 39111172.</w:t>
      </w:r>
    </w:p>
    <w:p w14:paraId="46176FC9" w14:textId="5BF52313" w:rsidR="00A6431E" w:rsidRPr="00143919" w:rsidRDefault="00A6431E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Erdemli Ö, Yılmaz B, saran İG, Serin E.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Sustainable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biomaterials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for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tissue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engineering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: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electrospun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polycaprolactone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fibers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enriched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with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freshwater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snail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calcium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carbonate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waste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human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hair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keratin.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Polymer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International, 2024; https://doi.org/10.1002/pi.6667</w:t>
      </w:r>
    </w:p>
    <w:p w14:paraId="58812454" w14:textId="35365F60" w:rsidR="00500C96" w:rsidRDefault="00500C9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Atağ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G., Kaptan, D., Yüncü, E., Başak Vural, K.,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Mereu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P.,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Pirastru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M.,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Barbato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M.,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Leoni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G. G., Güler, M. N., Er, T., Eker, E., Yazıcı, T. D., Kılıç, M. S., Altınışık, N. E., Çelik, E. A.,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Morell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Miranda, P.,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Dehasque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M.,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Floridia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V.,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Götherström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A., Bilgin, C. C., …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Somel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M. (2024).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Population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Genomic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History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the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Endangered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Anatolian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Cyprian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Mouflons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Relation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to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Worldwide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Wild,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Feral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Domestic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Sheep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Lineages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Genome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biology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evolution</w:t>
      </w:r>
      <w:proofErr w:type="spellEnd"/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16(5), evae090. </w:t>
      </w:r>
      <w:r w:rsidR="002F0D4E"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https://doi.org/10.1093/gbe/evae090</w:t>
      </w:r>
    </w:p>
    <w:p w14:paraId="4F9F0118" w14:textId="7EA03CC2" w:rsidR="002F0D4E" w:rsidRPr="00143919" w:rsidRDefault="002F0D4E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Köse SG, Güleç Taşkıran AE.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Mechanisms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drug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resistance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nutrient-depleted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colorectal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cancer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cells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: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insights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into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lysosomal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mitochondrial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drug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sequestration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Biol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Open. 2024 Jul 15;13(10</w:t>
      </w:r>
      <w:proofErr w:type="gram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):bio</w:t>
      </w:r>
      <w:proofErr w:type="gram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060448. </w:t>
      </w:r>
      <w:proofErr w:type="spellStart"/>
      <w:proofErr w:type="gram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doi</w:t>
      </w:r>
      <w:proofErr w:type="spellEnd"/>
      <w:proofErr w:type="gram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: 10.1242/bio.060448.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Epub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2024 </w:t>
      </w:r>
      <w:proofErr w:type="spellStart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>Oct</w:t>
      </w:r>
      <w:proofErr w:type="spellEnd"/>
      <w:r w:rsidRPr="002F0D4E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24. PMID: 39445740; PMCID: PMC11554266.</w:t>
      </w:r>
    </w:p>
    <w:p w14:paraId="1B7A6833" w14:textId="31EC0757" w:rsidR="00CF3167" w:rsidRDefault="00CF3167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Erdogan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</w:t>
      </w:r>
      <w:proofErr w:type="spellStart"/>
      <w:proofErr w:type="gram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C.,Toprak</w:t>
      </w:r>
      <w:proofErr w:type="spellEnd"/>
      <w:proofErr w:type="gram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U.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Gurkan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M.O. 2024.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Biochemical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molecular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analyses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insecticide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resistance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greenhouse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populations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Bemisia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tabaci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(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Hemiptera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: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Aleyrodidae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) in Türkiye.  </w:t>
      </w:r>
      <w:proofErr w:type="spellStart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>Phytoparasitica</w:t>
      </w:r>
      <w:proofErr w:type="spellEnd"/>
      <w:r w:rsidRPr="00CF316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52, 41. https://doi.org/10.1007/s12600-024-01155-5.</w:t>
      </w:r>
    </w:p>
    <w:p w14:paraId="1846F4F7" w14:textId="1A46716F" w:rsidR="00C27FA6" w:rsidRPr="00143919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--------------------------------------------------------------------------------------------------------------------------</w:t>
      </w:r>
    </w:p>
    <w:p w14:paraId="75305369" w14:textId="77777777" w:rsidR="00C27FA6" w:rsidRPr="00143919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SCI, SSCI, SCI-</w:t>
      </w: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Expanded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 ve AHCI endeksleri tarafından taranan dergilerde yayımlanan ya da yayımlanmak üzere kabul edilmiş makaleler. (Q3)</w:t>
      </w:r>
    </w:p>
    <w:p w14:paraId="6D784D8A" w14:textId="2BBF62A4" w:rsidR="00FD338B" w:rsidRDefault="00FD338B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</w:pP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lastRenderedPageBreak/>
        <w:t>Oguz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Balci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Asli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Kurekci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V. Cengiz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Ozalp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Barbaros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Cetin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. 2024.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Performance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Comparison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Aptamer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-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and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Antibody-Based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Biosensors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for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Bacteria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Detection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on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Glass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Surfaces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Analytical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Letters</w:t>
      </w:r>
      <w:proofErr w:type="spell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. </w:t>
      </w:r>
      <w:proofErr w:type="spellStart"/>
      <w:proofErr w:type="gramStart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doi</w:t>
      </w:r>
      <w:proofErr w:type="spellEnd"/>
      <w:proofErr w:type="gramEnd"/>
      <w:r w:rsidRPr="00143919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: 10.1080/00032719.2024.2318448</w:t>
      </w:r>
    </w:p>
    <w:p w14:paraId="4C2AFB4A" w14:textId="4967035B" w:rsidR="00E0343C" w:rsidRDefault="002F0D4E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</w:pPr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Güleç Taşkıran AE,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Hüsnügil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HH,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Soltani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ZE, Oral G, Menemenli NS,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Hampel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C,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Huebner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K,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Erlenbach-Wuensch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K,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Sheraj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I, Schneider-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Stock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R, Akyol A, Liv N,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Banerjee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S. Post-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Transcriptional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Regulation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Rab7a in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Lysosomal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Positioning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and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Drug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Resistance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Nutrient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-Limited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Cancer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Cells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Traffic</w:t>
      </w:r>
      <w:proofErr w:type="spell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. 2024 Sep;25(9</w:t>
      </w:r>
      <w:proofErr w:type="gram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):e</w:t>
      </w:r>
      <w:proofErr w:type="gram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12956. </w:t>
      </w:r>
      <w:proofErr w:type="spellStart"/>
      <w:proofErr w:type="gramStart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doi</w:t>
      </w:r>
      <w:proofErr w:type="spellEnd"/>
      <w:proofErr w:type="gramEnd"/>
      <w:r w:rsidRPr="002F0D4E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: 10.1111/tra.12956. PMID: 39313937.</w:t>
      </w:r>
    </w:p>
    <w:p w14:paraId="5FBFE43B" w14:textId="60D13153" w:rsidR="00C25491" w:rsidRPr="00143919" w:rsidRDefault="00C25491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</w:pP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Zabcı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, S., &amp; Kocabıyık, S. (2024). Anti-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aggregation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Properties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the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Mini-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Peptides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Derived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from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Alpha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Crystallin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Domain of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the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Small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Heat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Shock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Protein,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Tpv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HSP 14.3.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Molecular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biotechnology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10.1007/s12033-024-01332-1.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Advance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online </w:t>
      </w:r>
      <w:proofErr w:type="spellStart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publication</w:t>
      </w:r>
      <w:proofErr w:type="spellEnd"/>
      <w:r w:rsidRPr="00C25491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. https://doi.org/10.1007/s12033-024-01332-1</w:t>
      </w:r>
    </w:p>
    <w:p w14:paraId="0DB3D33C" w14:textId="7D75F0B9" w:rsidR="00D44D70" w:rsidRDefault="0034688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</w:pPr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Erdoğan, C. 2024.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Investigation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possible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use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pheromone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trap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for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adult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population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development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and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control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Ips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sexdentatus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(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Börner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, 1776) (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Coleoptera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: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Scolytidae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)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damaging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black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pine in Başkent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University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Bağlıca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Campus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afforestation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area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Turkish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Journal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Entomology</w:t>
      </w:r>
      <w:proofErr w:type="spellEnd"/>
      <w:r w:rsidRPr="00346886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, 48(1), 3-14. https://doi.org/10.16970/entoted.1352020</w:t>
      </w:r>
    </w:p>
    <w:p w14:paraId="775542BD" w14:textId="77777777" w:rsidR="00D135C5" w:rsidRPr="00D135C5" w:rsidRDefault="00D135C5" w:rsidP="00D135C5">
      <w:pPr>
        <w:pStyle w:val="NormalWeb"/>
        <w:spacing w:after="150"/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</w:pP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Yirmibeş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S.,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Kayihan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C.,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Cicek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N., &amp;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Ekmekci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Y. (2024). Role of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sulfur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metabolism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acquiring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boron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tolerance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Arabidopsis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thaliana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Turkish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Journal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Botany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, 48(7), 562-581.</w:t>
      </w:r>
    </w:p>
    <w:p w14:paraId="0A61FD5C" w14:textId="1CEE52B6" w:rsidR="00B518FB" w:rsidRPr="00346886" w:rsidRDefault="00D135C5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</w:pP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Altaf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M. T., Tatar, M., Ali, A.,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Liaqat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W.,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Mortazvi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P.,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Kayihan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C., ... &amp;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Baloch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, F. S. (2024).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Advancements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in QTL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mapping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and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GWAS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application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plant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improvement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Turkish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Journal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Botany</w:t>
      </w:r>
      <w:proofErr w:type="spellEnd"/>
      <w:r w:rsidRPr="00D135C5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, 48(7), 376-426.</w:t>
      </w:r>
    </w:p>
    <w:p w14:paraId="551245DB" w14:textId="77777777" w:rsidR="00C27FA6" w:rsidRPr="00143919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--------------------------------------------------------------------------------------------------------------------------</w:t>
      </w:r>
    </w:p>
    <w:p w14:paraId="390ED68C" w14:textId="77777777" w:rsidR="00C27FA6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SCI, SSCI, SCI-</w:t>
      </w: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Expanded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 ve AHCI endeksleri tarafından taranan dergilerde yayımlanan ya da yayımlanmak üzere kabul edilmiş makale. (Q4)</w:t>
      </w:r>
    </w:p>
    <w:p w14:paraId="67B763A8" w14:textId="3B010A11" w:rsidR="00DB4A94" w:rsidRDefault="00DB4A94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Zabci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S.,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Kocabiyik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S.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Structural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Functional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Impacts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Extended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N-Terminal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End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the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Small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Heat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Shock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Protein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Tpv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HSP 14.3.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Applied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Biochemistry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proofErr w:type="gram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 </w:t>
      </w:r>
      <w:proofErr w:type="spellStart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>Microbiology</w:t>
      </w:r>
      <w:proofErr w:type="spellEnd"/>
      <w:proofErr w:type="gramEnd"/>
      <w:r w:rsidRPr="00DB4A94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60, 287–293 (2024). https://doi.org/10.1134/S0003683824020200</w:t>
      </w:r>
    </w:p>
    <w:p w14:paraId="09499998" w14:textId="7BB19BEA" w:rsidR="00C27FA6" w:rsidRPr="00143919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--------------------------------------------------------------------------------------------------------------------------</w:t>
      </w:r>
    </w:p>
    <w:p w14:paraId="679622CD" w14:textId="77777777" w:rsidR="00C27FA6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</w:pP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Emerging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Sources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Citation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 Index (ESCI), PSYCH-</w:t>
      </w: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Info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, </w:t>
      </w: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Scopus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 ya da MLA International </w:t>
      </w: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Bibliography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 tarafından taranan dergilerde yayımlanan ya da yayımlanmak üzere kabul edilmiş makaleler.</w:t>
      </w:r>
    </w:p>
    <w:p w14:paraId="2C9D92E6" w14:textId="563BB570" w:rsidR="00803EC0" w:rsidRDefault="00EA4564" w:rsidP="00EA4564">
      <w:pPr>
        <w:pStyle w:val="NormalWeb"/>
        <w:spacing w:after="150"/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</w:pPr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Erdoğan, C. 2024. Evaluation of </w:t>
      </w:r>
      <w:proofErr w:type="spellStart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The</w:t>
      </w:r>
      <w:proofErr w:type="spellEnd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Use</w:t>
      </w:r>
      <w:proofErr w:type="spellEnd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Plant</w:t>
      </w:r>
      <w:proofErr w:type="spellEnd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Protection</w:t>
      </w:r>
      <w:proofErr w:type="spellEnd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Products</w:t>
      </w:r>
      <w:proofErr w:type="spellEnd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in Türkiye </w:t>
      </w:r>
      <w:proofErr w:type="spellStart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and</w:t>
      </w:r>
      <w:proofErr w:type="spellEnd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The</w:t>
      </w:r>
      <w:proofErr w:type="spellEnd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World </w:t>
      </w:r>
      <w:proofErr w:type="spellStart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and</w:t>
      </w:r>
      <w:proofErr w:type="spellEnd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Recommendations</w:t>
      </w:r>
      <w:proofErr w:type="spellEnd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. KSU J. </w:t>
      </w:r>
      <w:proofErr w:type="spellStart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Agric</w:t>
      </w:r>
      <w:proofErr w:type="spellEnd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Nat</w:t>
      </w:r>
      <w:proofErr w:type="spellEnd"/>
      <w:r w:rsidRPr="00EA4564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27 (2), 382-392. DOI: 10.18016/ksutarimdoga.vi.1402605.</w:t>
      </w:r>
    </w:p>
    <w:p w14:paraId="2C2752C8" w14:textId="7531D23B" w:rsidR="007B62E7" w:rsidRDefault="007B62E7" w:rsidP="00EA4564">
      <w:pPr>
        <w:pStyle w:val="NormalWeb"/>
        <w:spacing w:after="150"/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</w:pPr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Erdoğan, C. 2024. Risk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Assessment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and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Selection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Plant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Protection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Products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to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be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Used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Integrated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Pest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Management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Programmes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Journal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Tekirdag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Agricultural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Faculty</w:t>
      </w:r>
      <w:proofErr w:type="spellEnd"/>
      <w:r w:rsidRPr="007B62E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, 2024, 21(1). https://doi.org/10.33462/jotaf.1397837</w:t>
      </w:r>
    </w:p>
    <w:p w14:paraId="21A7D76C" w14:textId="3612A677" w:rsidR="007B62E7" w:rsidRPr="00EA4564" w:rsidRDefault="00CF3167" w:rsidP="00EA4564">
      <w:pPr>
        <w:pStyle w:val="NormalWeb"/>
        <w:spacing w:after="150"/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</w:pPr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Erdoğan, C. 2024. Evaluation of </w:t>
      </w:r>
      <w:proofErr w:type="spellStart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The</w:t>
      </w:r>
      <w:proofErr w:type="spellEnd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Use</w:t>
      </w:r>
      <w:proofErr w:type="spellEnd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Plant</w:t>
      </w:r>
      <w:proofErr w:type="spellEnd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Protection</w:t>
      </w:r>
      <w:proofErr w:type="spellEnd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Products</w:t>
      </w:r>
      <w:proofErr w:type="spellEnd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in Türkiye </w:t>
      </w:r>
      <w:proofErr w:type="spellStart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and</w:t>
      </w:r>
      <w:proofErr w:type="spellEnd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The</w:t>
      </w:r>
      <w:proofErr w:type="spellEnd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World </w:t>
      </w:r>
      <w:proofErr w:type="spellStart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and</w:t>
      </w:r>
      <w:proofErr w:type="spellEnd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Recommendations</w:t>
      </w:r>
      <w:proofErr w:type="spellEnd"/>
      <w:r w:rsidRPr="00CF3167">
        <w:rPr>
          <w:rStyle w:val="Strong"/>
          <w:rFonts w:ascii="Helvetica Neue" w:hAnsi="Helvetica Neue"/>
          <w:b w:val="0"/>
          <w:bCs w:val="0"/>
          <w:color w:val="1A1A1A" w:themeColor="background1" w:themeShade="1A"/>
          <w:sz w:val="21"/>
          <w:szCs w:val="21"/>
        </w:rPr>
        <w:t>. Kahramanmaraş Sütçü İmam Üniversitesi Tarım ve Doğa Dergisi, 27(2), 382-392. https://doi.org/10.18016/ksutarimdoga.vi.1402605</w:t>
      </w:r>
    </w:p>
    <w:p w14:paraId="1613D0B5" w14:textId="2078A707" w:rsidR="00CF3167" w:rsidRDefault="00970CEB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Erdoğan, C.,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Darcansoy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İseri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Ö.,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Eyidoğan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F. 2024.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Possible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Effects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the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European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Union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Green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Deal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Regulations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on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Agricultural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Policies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the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Sector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Fruit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Science</w:t>
      </w:r>
      <w:proofErr w:type="spellEnd"/>
      <w:r w:rsidRPr="00970CEB">
        <w:rPr>
          <w:rFonts w:ascii="Helvetica Neue" w:hAnsi="Helvetica Neue"/>
          <w:color w:val="1A1A1A" w:themeColor="background1" w:themeShade="1A"/>
          <w:sz w:val="21"/>
          <w:szCs w:val="21"/>
        </w:rPr>
        <w:t>, 11(2), 59-67.</w:t>
      </w:r>
    </w:p>
    <w:p w14:paraId="05C1F05D" w14:textId="0488FB0D" w:rsidR="00C27FA6" w:rsidRPr="00143919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lastRenderedPageBreak/>
        <w:t>--------------------------------------------------------------------------------------------------------------------------</w:t>
      </w:r>
    </w:p>
    <w:p w14:paraId="7C2EC3BF" w14:textId="77777777" w:rsidR="00C27FA6" w:rsidRPr="00143919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Directory of Open Access </w:t>
      </w:r>
      <w:proofErr w:type="spellStart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Journals</w:t>
      </w:r>
      <w:proofErr w:type="spellEnd"/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 xml:space="preserve"> (DOAJ), EBSCHO ya da ULAKBIM-TR Dizin tarafından taranan dergilerde yayımlanan ya da yayımlanmak üzere kabul edilmiş makaleler.</w:t>
      </w:r>
    </w:p>
    <w:p w14:paraId="3DA701E8" w14:textId="77777777" w:rsidR="00C27FA6" w:rsidRPr="00143919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--------------------------------------------------------------------------------------------------------------------------</w:t>
      </w:r>
    </w:p>
    <w:p w14:paraId="4B00F4AD" w14:textId="77777777" w:rsidR="00C27FA6" w:rsidRPr="00143919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Basılmış kitap yazarlığı ya da editörlüğü.</w:t>
      </w:r>
    </w:p>
    <w:p w14:paraId="7EB7710D" w14:textId="77777777" w:rsidR="00C27FA6" w:rsidRPr="00143919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Fonts w:ascii="Helvetica Neue" w:hAnsi="Helvetica Neue"/>
          <w:color w:val="1A1A1A" w:themeColor="background1" w:themeShade="1A"/>
          <w:sz w:val="21"/>
          <w:szCs w:val="21"/>
        </w:rPr>
        <w:t>--------------------------------------------------------------------------------------------------------------------------</w:t>
      </w:r>
    </w:p>
    <w:p w14:paraId="5E79089D" w14:textId="77777777" w:rsidR="00C27FA6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</w:pPr>
      <w:r w:rsidRPr="00143919">
        <w:rPr>
          <w:rStyle w:val="Strong"/>
          <w:rFonts w:ascii="Helvetica Neue" w:hAnsi="Helvetica Neue"/>
          <w:color w:val="1A1A1A" w:themeColor="background1" w:themeShade="1A"/>
          <w:sz w:val="21"/>
          <w:szCs w:val="21"/>
        </w:rPr>
        <w:t>Basılmış kitaplarda bölüm yazarlığı.</w:t>
      </w:r>
    </w:p>
    <w:p w14:paraId="3C6E52B2" w14:textId="011836BE" w:rsidR="00725988" w:rsidRDefault="00725988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Erdemli Ö, </w:t>
      </w:r>
      <w:proofErr w:type="spellStart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>Tezcaner</w:t>
      </w:r>
      <w:proofErr w:type="spellEnd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A. (2024) </w:t>
      </w:r>
      <w:proofErr w:type="spellStart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>Extracellular</w:t>
      </w:r>
      <w:proofErr w:type="spellEnd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>Matrix-like</w:t>
      </w:r>
      <w:proofErr w:type="spellEnd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>Hydrogels</w:t>
      </w:r>
      <w:proofErr w:type="spellEnd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>In</w:t>
      </w:r>
      <w:proofErr w:type="spellEnd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: </w:t>
      </w:r>
      <w:proofErr w:type="spellStart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>Tissue</w:t>
      </w:r>
      <w:proofErr w:type="spellEnd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>Engineering</w:t>
      </w:r>
      <w:proofErr w:type="spellEnd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>Hydrogels</w:t>
      </w:r>
      <w:proofErr w:type="spellEnd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>Bioinks</w:t>
      </w:r>
      <w:proofErr w:type="spellEnd"/>
      <w:r w:rsidRPr="00725988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3-Dimensional Organ Construction</w:t>
      </w:r>
    </w:p>
    <w:p w14:paraId="095F855C" w14:textId="142BB2B3" w:rsidR="002235D7" w:rsidRPr="002235D7" w:rsidRDefault="002235D7" w:rsidP="002235D7">
      <w:pPr>
        <w:pStyle w:val="NormalWeb"/>
        <w:spacing w:after="150"/>
        <w:rPr>
          <w:rFonts w:ascii="Helvetica Neue" w:hAnsi="Helvetica Neue"/>
          <w:color w:val="1A1A1A" w:themeColor="background1" w:themeShade="1A"/>
          <w:sz w:val="21"/>
          <w:szCs w:val="21"/>
        </w:rPr>
      </w:pPr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Erdoğan, C.,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Darcansoy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İseri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Ö.,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Eyidoğan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F. 2024.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The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Place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Importance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of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Plant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Protection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One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Health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Approach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.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In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Polat, A. ed. 490p) Modern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Approaches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Plant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proofErr w:type="gram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Protection</w:t>
      </w:r>
      <w:proofErr w:type="spell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-</w:t>
      </w:r>
      <w:proofErr w:type="gram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1. p 439-463. </w:t>
      </w:r>
      <w:proofErr w:type="gramStart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>ISBN :</w:t>
      </w:r>
      <w:proofErr w:type="gramEnd"/>
      <w:r w:rsidRPr="002235D7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978-625-367-834-0</w:t>
      </w:r>
    </w:p>
    <w:p w14:paraId="308BC894" w14:textId="7C8920F3" w:rsidR="002235D7" w:rsidRPr="002235D7" w:rsidRDefault="0029715A" w:rsidP="002235D7">
      <w:pPr>
        <w:pStyle w:val="NormalWeb"/>
        <w:spacing w:after="150"/>
        <w:rPr>
          <w:rFonts w:ascii="Helvetica Neue" w:hAnsi="Helvetica Neue"/>
          <w:color w:val="1A1A1A" w:themeColor="background1" w:themeShade="1A"/>
          <w:sz w:val="21"/>
          <w:szCs w:val="21"/>
        </w:rPr>
      </w:pP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Eyidoğan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F., Özden D.,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Carbon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Nanotubes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Agriculture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,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Chapter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9: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Carbon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Nano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Tubes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in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Plant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Biotechnology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and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Their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Cell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Uptake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 xml:space="preserve"> </w:t>
      </w:r>
      <w:proofErr w:type="spellStart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Mechanisms</w:t>
      </w:r>
      <w:proofErr w:type="spellEnd"/>
      <w:r w:rsidRPr="0029715A">
        <w:rPr>
          <w:rFonts w:ascii="Helvetica Neue" w:hAnsi="Helvetica Neue"/>
          <w:color w:val="1A1A1A" w:themeColor="background1" w:themeShade="1A"/>
          <w:sz w:val="21"/>
          <w:szCs w:val="21"/>
        </w:rPr>
        <w:t>, 2024, ISBN: 9780443190476</w:t>
      </w:r>
    </w:p>
    <w:p w14:paraId="1B216650" w14:textId="65A09EBF" w:rsidR="00725988" w:rsidRDefault="00D20847" w:rsidP="00C27FA6">
      <w:pPr>
        <w:pStyle w:val="NormalWeb"/>
        <w:spacing w:before="0" w:beforeAutospacing="0" w:after="15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Karagöz, D. S., Kayıhan, D. S., &amp; Kayıhan, C. (2024).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Role of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Transcription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Factors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and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Target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Genes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Cadmium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Tolerance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Plants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In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Plant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Responses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to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Cadmium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Toxicity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Insights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into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Physiology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and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Defense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Mechanisms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pp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 305-330).</w:t>
      </w:r>
    </w:p>
    <w:p w14:paraId="6414F7C6" w14:textId="77777777" w:rsidR="00D20847" w:rsidRPr="00143919" w:rsidRDefault="00D20847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1A1A1A" w:themeColor="background1" w:themeShade="1A"/>
          <w:sz w:val="21"/>
          <w:szCs w:val="21"/>
        </w:rPr>
      </w:pPr>
    </w:p>
    <w:p w14:paraId="644C69D7" w14:textId="77777777" w:rsidR="007569EB" w:rsidRPr="00143919" w:rsidRDefault="007569EB">
      <w:pPr>
        <w:rPr>
          <w:color w:val="1A1A1A" w:themeColor="background1" w:themeShade="1A"/>
        </w:rPr>
      </w:pPr>
    </w:p>
    <w:sectPr w:rsidR="007569EB" w:rsidRPr="00143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A6"/>
    <w:rsid w:val="000051A1"/>
    <w:rsid w:val="00053FBD"/>
    <w:rsid w:val="000D65E6"/>
    <w:rsid w:val="000F7047"/>
    <w:rsid w:val="00143919"/>
    <w:rsid w:val="001447DE"/>
    <w:rsid w:val="001A7FB3"/>
    <w:rsid w:val="001B494F"/>
    <w:rsid w:val="002235D7"/>
    <w:rsid w:val="0029715A"/>
    <w:rsid w:val="002E3B19"/>
    <w:rsid w:val="002F0D4E"/>
    <w:rsid w:val="00304FAF"/>
    <w:rsid w:val="0034026D"/>
    <w:rsid w:val="00346886"/>
    <w:rsid w:val="00500C96"/>
    <w:rsid w:val="00551268"/>
    <w:rsid w:val="00613D69"/>
    <w:rsid w:val="00631EAC"/>
    <w:rsid w:val="0069380C"/>
    <w:rsid w:val="006A7115"/>
    <w:rsid w:val="00725988"/>
    <w:rsid w:val="007569EB"/>
    <w:rsid w:val="007B62E7"/>
    <w:rsid w:val="00803EC0"/>
    <w:rsid w:val="0085159E"/>
    <w:rsid w:val="0092142B"/>
    <w:rsid w:val="00956835"/>
    <w:rsid w:val="00970CEB"/>
    <w:rsid w:val="009B091D"/>
    <w:rsid w:val="00A6431E"/>
    <w:rsid w:val="00B03E31"/>
    <w:rsid w:val="00B518FB"/>
    <w:rsid w:val="00B711BA"/>
    <w:rsid w:val="00C25491"/>
    <w:rsid w:val="00C27FA6"/>
    <w:rsid w:val="00CF3167"/>
    <w:rsid w:val="00D135C5"/>
    <w:rsid w:val="00D20847"/>
    <w:rsid w:val="00D44D70"/>
    <w:rsid w:val="00DA77DA"/>
    <w:rsid w:val="00DB4A94"/>
    <w:rsid w:val="00DD1905"/>
    <w:rsid w:val="00E0343C"/>
    <w:rsid w:val="00E30CF5"/>
    <w:rsid w:val="00E53F38"/>
    <w:rsid w:val="00EA4564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017EF"/>
  <w15:chartTrackingRefBased/>
  <w15:docId w15:val="{33E194E4-EC51-144A-AD9F-2F73F7BA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F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F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Strong">
    <w:name w:val="Strong"/>
    <w:basedOn w:val="DefaultParagraphFont"/>
    <w:uiPriority w:val="22"/>
    <w:qFormat/>
    <w:rsid w:val="00C27FA6"/>
    <w:rPr>
      <w:b/>
      <w:bCs/>
    </w:rPr>
  </w:style>
  <w:style w:type="character" w:styleId="Hyperlink">
    <w:name w:val="Hyperlink"/>
    <w:basedOn w:val="DefaultParagraphFont"/>
    <w:uiPriority w:val="99"/>
    <w:unhideWhenUsed/>
    <w:rsid w:val="00631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Özden</dc:creator>
  <cp:keywords/>
  <dc:description/>
  <cp:lastModifiedBy>dilara ozden</cp:lastModifiedBy>
  <cp:revision>3</cp:revision>
  <dcterms:created xsi:type="dcterms:W3CDTF">2026-04-29T13:25:00Z</dcterms:created>
  <dcterms:modified xsi:type="dcterms:W3CDTF">2026-04-29T14:09:00Z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0baa365184271fe874c01249ced47e3c21be3ac3921b1a078a29bb8d73f0f206</vt:lpwstr>
  </property>
</Properties>
</file>